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3437" w:rsidRDefault="00EE3437" w:rsidP="0032394D">
      <w:pPr>
        <w:spacing w:line="480" w:lineRule="auto"/>
        <w:jc w:val="center"/>
        <w:rPr>
          <w:rFonts w:ascii="Times New Roman" w:hAnsi="Times New Roman" w:cs="Times New Roman"/>
          <w:sz w:val="24"/>
          <w:szCs w:val="24"/>
        </w:rPr>
      </w:pPr>
      <w:bookmarkStart w:id="0" w:name="_GoBack"/>
      <w:bookmarkEnd w:id="0"/>
    </w:p>
    <w:p w:rsidR="00EE3437" w:rsidRDefault="00EE3437" w:rsidP="0032394D">
      <w:pPr>
        <w:spacing w:line="480" w:lineRule="auto"/>
        <w:jc w:val="center"/>
        <w:rPr>
          <w:rFonts w:ascii="Times New Roman" w:hAnsi="Times New Roman" w:cs="Times New Roman"/>
          <w:sz w:val="24"/>
          <w:szCs w:val="24"/>
        </w:rPr>
      </w:pPr>
    </w:p>
    <w:p w:rsidR="00EE3437" w:rsidRDefault="00EE3437" w:rsidP="0032394D">
      <w:pPr>
        <w:spacing w:line="480" w:lineRule="auto"/>
        <w:jc w:val="center"/>
        <w:rPr>
          <w:rFonts w:ascii="Times New Roman" w:hAnsi="Times New Roman" w:cs="Times New Roman"/>
          <w:sz w:val="24"/>
          <w:szCs w:val="24"/>
        </w:rPr>
      </w:pPr>
    </w:p>
    <w:p w:rsidR="00EE3437" w:rsidRDefault="00EE3437" w:rsidP="0032394D">
      <w:pPr>
        <w:spacing w:line="480" w:lineRule="auto"/>
        <w:jc w:val="center"/>
        <w:rPr>
          <w:rFonts w:ascii="Times New Roman" w:hAnsi="Times New Roman" w:cs="Times New Roman"/>
          <w:sz w:val="24"/>
          <w:szCs w:val="24"/>
        </w:rPr>
      </w:pPr>
    </w:p>
    <w:p w:rsidR="00EE3437" w:rsidRDefault="00EE3437" w:rsidP="0032394D">
      <w:pPr>
        <w:spacing w:line="480" w:lineRule="auto"/>
        <w:jc w:val="center"/>
        <w:rPr>
          <w:rFonts w:ascii="Times New Roman" w:hAnsi="Times New Roman" w:cs="Times New Roman"/>
          <w:sz w:val="24"/>
          <w:szCs w:val="24"/>
        </w:rPr>
      </w:pPr>
    </w:p>
    <w:p w:rsidR="00EE3437" w:rsidRDefault="00EE3437" w:rsidP="0032394D">
      <w:pPr>
        <w:spacing w:line="480" w:lineRule="auto"/>
        <w:jc w:val="center"/>
        <w:rPr>
          <w:rFonts w:ascii="Times New Roman" w:hAnsi="Times New Roman" w:cs="Times New Roman"/>
          <w:sz w:val="24"/>
          <w:szCs w:val="24"/>
        </w:rPr>
      </w:pPr>
    </w:p>
    <w:p w:rsidR="00EE3437" w:rsidRDefault="00EE3437" w:rsidP="0032394D">
      <w:pPr>
        <w:spacing w:line="480" w:lineRule="auto"/>
        <w:jc w:val="center"/>
        <w:rPr>
          <w:rFonts w:ascii="Times New Roman" w:hAnsi="Times New Roman" w:cs="Times New Roman"/>
          <w:sz w:val="24"/>
          <w:szCs w:val="24"/>
        </w:rPr>
      </w:pPr>
    </w:p>
    <w:p w:rsidR="00EE3437" w:rsidRDefault="00EE3437" w:rsidP="0032394D">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Answers </w:t>
      </w:r>
    </w:p>
    <w:p w:rsidR="00EE3437" w:rsidRDefault="00EE3437" w:rsidP="0032394D">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E3437" w:rsidRDefault="00EE3437" w:rsidP="0032394D">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EE3437" w:rsidRDefault="00EE3437" w:rsidP="0032394D">
      <w:pPr>
        <w:spacing w:line="480" w:lineRule="auto"/>
        <w:jc w:val="center"/>
        <w:rPr>
          <w:rFonts w:ascii="Times New Roman" w:hAnsi="Times New Roman" w:cs="Times New Roman"/>
          <w:sz w:val="24"/>
          <w:szCs w:val="24"/>
        </w:rPr>
      </w:pPr>
    </w:p>
    <w:p w:rsidR="00EE3437" w:rsidRDefault="00EE3437" w:rsidP="0032394D">
      <w:pPr>
        <w:spacing w:line="480" w:lineRule="auto"/>
        <w:jc w:val="center"/>
        <w:rPr>
          <w:rFonts w:ascii="Times New Roman" w:hAnsi="Times New Roman" w:cs="Times New Roman"/>
          <w:sz w:val="24"/>
          <w:szCs w:val="24"/>
        </w:rPr>
      </w:pPr>
    </w:p>
    <w:p w:rsidR="00EE3437" w:rsidRDefault="00EE3437" w:rsidP="0032394D">
      <w:pPr>
        <w:spacing w:line="480" w:lineRule="auto"/>
        <w:jc w:val="center"/>
        <w:rPr>
          <w:rFonts w:ascii="Times New Roman" w:hAnsi="Times New Roman" w:cs="Times New Roman"/>
          <w:sz w:val="24"/>
          <w:szCs w:val="24"/>
        </w:rPr>
      </w:pPr>
    </w:p>
    <w:p w:rsidR="00EE3437" w:rsidRDefault="00EE3437" w:rsidP="0032394D">
      <w:pPr>
        <w:spacing w:line="480" w:lineRule="auto"/>
        <w:jc w:val="center"/>
        <w:rPr>
          <w:rFonts w:ascii="Times New Roman" w:hAnsi="Times New Roman" w:cs="Times New Roman"/>
          <w:sz w:val="24"/>
          <w:szCs w:val="24"/>
        </w:rPr>
      </w:pPr>
    </w:p>
    <w:p w:rsidR="00EE3437" w:rsidRDefault="00EE3437" w:rsidP="0032394D">
      <w:pPr>
        <w:spacing w:line="480" w:lineRule="auto"/>
        <w:jc w:val="center"/>
        <w:rPr>
          <w:rFonts w:ascii="Times New Roman" w:hAnsi="Times New Roman" w:cs="Times New Roman"/>
          <w:sz w:val="24"/>
          <w:szCs w:val="24"/>
        </w:rPr>
      </w:pPr>
    </w:p>
    <w:p w:rsidR="00EE3437" w:rsidRDefault="00EE3437" w:rsidP="0032394D">
      <w:pPr>
        <w:spacing w:line="480" w:lineRule="auto"/>
        <w:jc w:val="center"/>
        <w:rPr>
          <w:rFonts w:ascii="Times New Roman" w:hAnsi="Times New Roman" w:cs="Times New Roman"/>
          <w:sz w:val="24"/>
          <w:szCs w:val="24"/>
        </w:rPr>
      </w:pPr>
    </w:p>
    <w:p w:rsidR="00EE3437" w:rsidRDefault="00EE3437" w:rsidP="0032394D">
      <w:pPr>
        <w:spacing w:line="480" w:lineRule="auto"/>
        <w:jc w:val="center"/>
        <w:rPr>
          <w:rFonts w:ascii="Times New Roman" w:hAnsi="Times New Roman" w:cs="Times New Roman"/>
          <w:sz w:val="24"/>
          <w:szCs w:val="24"/>
        </w:rPr>
      </w:pPr>
    </w:p>
    <w:p w:rsidR="0020603C" w:rsidRDefault="0020603C" w:rsidP="0020603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Question One</w:t>
      </w:r>
    </w:p>
    <w:p w:rsidR="0020603C" w:rsidRDefault="0020603C" w:rsidP="0020603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Alarm management and patient safety strategies can only be achieved by incorporating human, organizational and technical issues in a well-planned approach. However, there has been a wide gap between the alarm-related standards and the way alarm standards are translated to practice mostly in a clinical environment that relies on alarms for an emergency like the health industry (Gillick, n.d.). In the organizational level, alar, management can be achieved be used to achieve better health care services through training staff on alarm usage and education, giving them the multidisciplinary teamwork and alarm safety culture. </w:t>
      </w:r>
    </w:p>
    <w:p w:rsidR="0020603C" w:rsidRDefault="0020603C" w:rsidP="0020603C">
      <w:pPr>
        <w:spacing w:line="480" w:lineRule="auto"/>
        <w:ind w:firstLine="720"/>
        <w:rPr>
          <w:rFonts w:ascii="Times New Roman" w:hAnsi="Times New Roman" w:cs="Times New Roman"/>
          <w:sz w:val="24"/>
          <w:szCs w:val="24"/>
        </w:rPr>
      </w:pPr>
      <w:r>
        <w:rPr>
          <w:rFonts w:ascii="Times New Roman" w:hAnsi="Times New Roman" w:cs="Times New Roman"/>
          <w:sz w:val="24"/>
          <w:szCs w:val="24"/>
        </w:rPr>
        <w:t>On the unit level, alarm response can be made more effective through making them understand the effects like the alarm fatigue, a different alarm sounds for certain communications and trains them on expertise usage and issues that might come up due to equipment failure.  Also, alarm management and patient safety strategies should be taught and to individual caregivers for self-service (Gillick, n.d.). One of the things they should understand is establishing an inter-professional team to address any issues that might arise due to related alarms, development of alarm management policies and provided with initial monitoring systems and alarm management as well as the development of rules and processes for observing only the patients with clinical suggestions.</w:t>
      </w:r>
    </w:p>
    <w:p w:rsidR="0020603C" w:rsidRDefault="0020603C" w:rsidP="0020603C">
      <w:pPr>
        <w:spacing w:line="480" w:lineRule="auto"/>
        <w:jc w:val="center"/>
        <w:rPr>
          <w:rFonts w:ascii="Times New Roman" w:hAnsi="Times New Roman" w:cs="Times New Roman"/>
          <w:sz w:val="24"/>
          <w:szCs w:val="24"/>
        </w:rPr>
      </w:pPr>
      <w:r>
        <w:rPr>
          <w:rFonts w:ascii="Times New Roman" w:hAnsi="Times New Roman" w:cs="Times New Roman"/>
          <w:sz w:val="24"/>
          <w:szCs w:val="24"/>
        </w:rPr>
        <w:t>Question Two</w:t>
      </w:r>
    </w:p>
    <w:p w:rsidR="0020603C" w:rsidRDefault="0020603C" w:rsidP="0020603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Culturally competent Nursing care is a practice related to nursing with the main aim of providing patient care to the best of your ability. Therefore, it is the ability of the care providers and the organizations or institutions to deliver quality healthcare services that will meet the social, and cultural needs of their patients. Culturally safety is the field that concentrates on power relationships between nurses and those they care while the recipients of the said nursing care educated so that they can culturally safe. A nurse becomes culturally safe when she has the required knowledge based on the cultures of service in their area they are working in relation to healthcare practices and beliefs (Seal &amp; Wiske, 2018). Also, if they have the right attitude where the avoid making stereotypical assumptions about their patient's culture. </w:t>
      </w:r>
    </w:p>
    <w:p w:rsidR="0020603C" w:rsidRDefault="0020603C" w:rsidP="0020603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Cultural competence is important because it helps a nurse to learn new ways of communicating which also allows their patient to comprehend the strategy of care they get. It also helps them acquire skills of translation while trying to change some phrases when explaining care. In doing these, they adjust to new and different conditions in the most elastic ways where the hospital atmosphere may not be too good for the patient specifically on the issue concerning the outside realm of their cultural identity (Seal &amp; Wiske, 2018). Other ways to improve cultural competence includes performing a cultural competence self-assessment, obtaining a certificate on completion, and participating in online chats and networks. </w:t>
      </w:r>
    </w:p>
    <w:p w:rsidR="0020603C" w:rsidRDefault="0020603C" w:rsidP="0020603C">
      <w:pPr>
        <w:spacing w:line="480" w:lineRule="auto"/>
        <w:jc w:val="center"/>
        <w:rPr>
          <w:rFonts w:ascii="Times New Roman" w:hAnsi="Times New Roman" w:cs="Times New Roman"/>
          <w:sz w:val="24"/>
          <w:szCs w:val="24"/>
        </w:rPr>
      </w:pPr>
      <w:r>
        <w:rPr>
          <w:rFonts w:ascii="Times New Roman" w:hAnsi="Times New Roman" w:cs="Times New Roman"/>
          <w:sz w:val="24"/>
          <w:szCs w:val="24"/>
        </w:rPr>
        <w:t>Question Three</w:t>
      </w:r>
    </w:p>
    <w:p w:rsidR="0020603C" w:rsidRDefault="0020603C" w:rsidP="0020603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Artificial nutrition and hydration is a type of medical treatment which gives room for a person to get food (nutrition) and fluids (hydration whey they are not able to consume them by mouth. hydration and artificial nutrition are also given to a person who fails to eat or drink enough nutrients to sustain their health and overall life (Bach, 2018). A person with a patient suffering the artificial nutrition and hydration should first get clear clarification of how the roles they should play in taking care of their patients from the nurses. One of the best practices is to feed them using tube feedings. </w:t>
      </w:r>
    </w:p>
    <w:p w:rsidR="0020603C" w:rsidRDefault="0020603C" w:rsidP="0020603C">
      <w:pPr>
        <w:spacing w:line="480" w:lineRule="auto"/>
        <w:ind w:firstLine="720"/>
      </w:pPr>
      <w:r>
        <w:rPr>
          <w:rFonts w:ascii="Times New Roman" w:hAnsi="Times New Roman" w:cs="Times New Roman"/>
          <w:sz w:val="24"/>
          <w:szCs w:val="24"/>
        </w:rPr>
        <w:t>Since the patient cannot eat through the normal ways, their caregivers should convince them to use tubes so that they can enough energy and improve their health. Another practice is to keep them updated with their proceeding on health. Patients suffering from this ailment tend to lose hope and are very difficult when it comes to decision making on any process happening in their bodies regarding feeding. As a caregiver, one should keep giving them information on why that is happening and at what point. While advising the caregiver, they should be aware of the diseases, requirements, medications and side effects so that they can avoid force-feeding on the patients (Bach, 2018).</w:t>
      </w:r>
    </w:p>
    <w:p w:rsidR="0032394D" w:rsidRDefault="0032394D" w:rsidP="009953AD">
      <w:pPr>
        <w:spacing w:line="480" w:lineRule="auto"/>
        <w:rPr>
          <w:rFonts w:ascii="Times New Roman" w:hAnsi="Times New Roman" w:cs="Times New Roman"/>
          <w:sz w:val="24"/>
          <w:szCs w:val="24"/>
        </w:rPr>
      </w:pPr>
    </w:p>
    <w:p w:rsidR="006B1BD8" w:rsidRDefault="006B1BD8" w:rsidP="009953AD">
      <w:pPr>
        <w:spacing w:line="480" w:lineRule="auto"/>
        <w:rPr>
          <w:rFonts w:ascii="Times New Roman" w:hAnsi="Times New Roman" w:cs="Times New Roman"/>
          <w:sz w:val="24"/>
          <w:szCs w:val="24"/>
        </w:rPr>
      </w:pPr>
    </w:p>
    <w:p w:rsidR="006B1BD8" w:rsidRDefault="006B1BD8" w:rsidP="009953AD">
      <w:pPr>
        <w:spacing w:line="480" w:lineRule="auto"/>
        <w:rPr>
          <w:rFonts w:ascii="Times New Roman" w:hAnsi="Times New Roman" w:cs="Times New Roman"/>
          <w:sz w:val="24"/>
          <w:szCs w:val="24"/>
        </w:rPr>
      </w:pPr>
    </w:p>
    <w:p w:rsidR="006B1BD8" w:rsidRDefault="006B1BD8" w:rsidP="009953AD">
      <w:pPr>
        <w:spacing w:line="480" w:lineRule="auto"/>
        <w:rPr>
          <w:rFonts w:ascii="Times New Roman" w:hAnsi="Times New Roman" w:cs="Times New Roman"/>
          <w:sz w:val="24"/>
          <w:szCs w:val="24"/>
        </w:rPr>
      </w:pPr>
    </w:p>
    <w:p w:rsidR="00EE069D" w:rsidRDefault="00EE069D" w:rsidP="009953AD">
      <w:pPr>
        <w:spacing w:line="480" w:lineRule="auto"/>
        <w:rPr>
          <w:rFonts w:ascii="Times New Roman" w:hAnsi="Times New Roman" w:cs="Times New Roman"/>
          <w:sz w:val="24"/>
          <w:szCs w:val="24"/>
        </w:rPr>
      </w:pPr>
    </w:p>
    <w:p w:rsidR="00EE069D" w:rsidRDefault="00EE069D" w:rsidP="009953AD">
      <w:pPr>
        <w:spacing w:line="480" w:lineRule="auto"/>
        <w:rPr>
          <w:rFonts w:ascii="Times New Roman" w:hAnsi="Times New Roman" w:cs="Times New Roman"/>
          <w:sz w:val="24"/>
          <w:szCs w:val="24"/>
        </w:rPr>
      </w:pPr>
    </w:p>
    <w:p w:rsidR="00EE069D" w:rsidRDefault="00EE069D" w:rsidP="009953AD">
      <w:pPr>
        <w:spacing w:line="480" w:lineRule="auto"/>
        <w:rPr>
          <w:rFonts w:ascii="Times New Roman" w:hAnsi="Times New Roman" w:cs="Times New Roman"/>
          <w:sz w:val="24"/>
          <w:szCs w:val="24"/>
        </w:rPr>
      </w:pPr>
    </w:p>
    <w:p w:rsidR="00EE069D" w:rsidRDefault="00EE069D" w:rsidP="009953AD">
      <w:pPr>
        <w:spacing w:line="480" w:lineRule="auto"/>
        <w:rPr>
          <w:rFonts w:ascii="Times New Roman" w:hAnsi="Times New Roman" w:cs="Times New Roman"/>
          <w:sz w:val="24"/>
          <w:szCs w:val="24"/>
        </w:rPr>
      </w:pPr>
    </w:p>
    <w:p w:rsidR="00EE069D" w:rsidRDefault="00EE069D" w:rsidP="009953AD">
      <w:pPr>
        <w:spacing w:line="480" w:lineRule="auto"/>
        <w:rPr>
          <w:rFonts w:ascii="Times New Roman" w:hAnsi="Times New Roman" w:cs="Times New Roman"/>
          <w:sz w:val="24"/>
          <w:szCs w:val="24"/>
        </w:rPr>
      </w:pPr>
    </w:p>
    <w:p w:rsidR="00EE069D" w:rsidRDefault="00EE069D" w:rsidP="009953AD">
      <w:pPr>
        <w:spacing w:line="480" w:lineRule="auto"/>
        <w:rPr>
          <w:rFonts w:ascii="Times New Roman" w:hAnsi="Times New Roman" w:cs="Times New Roman"/>
          <w:sz w:val="24"/>
          <w:szCs w:val="24"/>
        </w:rPr>
      </w:pPr>
    </w:p>
    <w:p w:rsidR="00EE069D" w:rsidRDefault="00EE069D" w:rsidP="009953AD">
      <w:pPr>
        <w:spacing w:line="480" w:lineRule="auto"/>
        <w:rPr>
          <w:rFonts w:ascii="Times New Roman" w:hAnsi="Times New Roman" w:cs="Times New Roman"/>
          <w:sz w:val="24"/>
          <w:szCs w:val="24"/>
        </w:rPr>
      </w:pPr>
    </w:p>
    <w:p w:rsidR="006B1BD8" w:rsidRPr="006B1BD8" w:rsidRDefault="006B1BD8" w:rsidP="006B1BD8">
      <w:pPr>
        <w:spacing w:line="480" w:lineRule="auto"/>
        <w:jc w:val="center"/>
        <w:rPr>
          <w:rFonts w:ascii="Times New Roman" w:hAnsi="Times New Roman" w:cs="Times New Roman"/>
          <w:sz w:val="24"/>
          <w:szCs w:val="24"/>
        </w:rPr>
      </w:pPr>
      <w:r w:rsidRPr="006B1BD8">
        <w:rPr>
          <w:rFonts w:ascii="Times New Roman" w:hAnsi="Times New Roman" w:cs="Times New Roman"/>
          <w:sz w:val="24"/>
          <w:szCs w:val="24"/>
        </w:rPr>
        <w:t>References</w:t>
      </w:r>
    </w:p>
    <w:p w:rsidR="00EE069D" w:rsidRPr="00EE069D" w:rsidRDefault="00EE069D" w:rsidP="00EE069D">
      <w:pPr>
        <w:spacing w:line="480" w:lineRule="auto"/>
        <w:ind w:left="785" w:hangingChars="327" w:hanging="785"/>
        <w:rPr>
          <w:rFonts w:ascii="Times New Roman" w:hAnsi="Times New Roman" w:cs="Times New Roman"/>
          <w:sz w:val="24"/>
          <w:szCs w:val="24"/>
        </w:rPr>
      </w:pPr>
      <w:r w:rsidRPr="00EE069D">
        <w:rPr>
          <w:rFonts w:ascii="Times New Roman" w:hAnsi="Times New Roman" w:cs="Times New Roman"/>
          <w:sz w:val="24"/>
          <w:szCs w:val="24"/>
        </w:rPr>
        <w:t>Bach T. et al., (2018). Managing alarm Systems for Quality and Safety in the hospital setting. Published Online. https://dx.doi.org/10.1136%2Fbmjoq-2017-000202</w:t>
      </w:r>
    </w:p>
    <w:p w:rsidR="00EE069D" w:rsidRPr="00EE069D" w:rsidRDefault="00EE069D" w:rsidP="00EE069D">
      <w:pPr>
        <w:spacing w:line="480" w:lineRule="auto"/>
        <w:ind w:left="785" w:hangingChars="327" w:hanging="785"/>
        <w:rPr>
          <w:rFonts w:ascii="Times New Roman" w:hAnsi="Times New Roman" w:cs="Times New Roman"/>
          <w:sz w:val="24"/>
          <w:szCs w:val="24"/>
        </w:rPr>
      </w:pPr>
      <w:r w:rsidRPr="00EE069D">
        <w:rPr>
          <w:rFonts w:ascii="Times New Roman" w:hAnsi="Times New Roman" w:cs="Times New Roman"/>
          <w:sz w:val="24"/>
          <w:szCs w:val="24"/>
        </w:rPr>
        <w:t xml:space="preserve">Gillick M. (n.d.). The Ethics of Artificial Nutrition and Hydration- A practical Guide. Bioethics. Vol. 2 and 3. </w:t>
      </w:r>
      <w:hyperlink r:id="rId8" w:history="1">
        <w:r w:rsidRPr="00EE069D">
          <w:rPr>
            <w:rStyle w:val="Hyperlink"/>
            <w:rFonts w:ascii="Times New Roman" w:hAnsi="Times New Roman" w:cs="Times New Roman"/>
            <w:color w:val="auto"/>
            <w:sz w:val="24"/>
            <w:szCs w:val="24"/>
          </w:rPr>
          <w:t>http://www.practicalbioethics.org/files/members/documents/Artificial-Nutrition-Hydration.pdf</w:t>
        </w:r>
      </w:hyperlink>
      <w:r w:rsidRPr="00EE069D">
        <w:rPr>
          <w:rFonts w:ascii="Times New Roman" w:hAnsi="Times New Roman" w:cs="Times New Roman"/>
          <w:sz w:val="24"/>
          <w:szCs w:val="24"/>
        </w:rPr>
        <w:t>.</w:t>
      </w:r>
    </w:p>
    <w:p w:rsidR="00EE069D" w:rsidRPr="00EE069D" w:rsidRDefault="00EE069D" w:rsidP="00EE069D">
      <w:pPr>
        <w:spacing w:line="480" w:lineRule="auto"/>
        <w:ind w:left="785" w:hangingChars="327" w:hanging="785"/>
        <w:rPr>
          <w:rFonts w:ascii="Times New Roman" w:hAnsi="Times New Roman" w:cs="Times New Roman"/>
          <w:sz w:val="24"/>
          <w:szCs w:val="24"/>
        </w:rPr>
      </w:pPr>
      <w:r w:rsidRPr="00EE069D">
        <w:rPr>
          <w:rFonts w:ascii="Times New Roman" w:hAnsi="Times New Roman" w:cs="Times New Roman"/>
          <w:sz w:val="24"/>
          <w:szCs w:val="24"/>
        </w:rPr>
        <w:t>Seal N</w:t>
      </w:r>
      <w:r>
        <w:rPr>
          <w:rFonts w:ascii="Times New Roman" w:hAnsi="Times New Roman" w:cs="Times New Roman"/>
          <w:sz w:val="24"/>
          <w:szCs w:val="24"/>
        </w:rPr>
        <w:t>.</w:t>
      </w:r>
      <w:r w:rsidRPr="00EE069D">
        <w:rPr>
          <w:rFonts w:ascii="Times New Roman" w:hAnsi="Times New Roman" w:cs="Times New Roman"/>
          <w:sz w:val="24"/>
          <w:szCs w:val="24"/>
        </w:rPr>
        <w:t xml:space="preserve"> &amp; Wiske M. (2018). 5 Ways to Improve Cultural Competence in Nursing Care. Minority Nurse. </w:t>
      </w:r>
      <w:hyperlink r:id="rId9" w:history="1">
        <w:r w:rsidRPr="00EE069D">
          <w:rPr>
            <w:rStyle w:val="Hyperlink"/>
            <w:rFonts w:ascii="Times New Roman" w:hAnsi="Times New Roman" w:cs="Times New Roman"/>
            <w:color w:val="auto"/>
            <w:sz w:val="24"/>
            <w:szCs w:val="24"/>
          </w:rPr>
          <w:t>https://minoritynurse.com/5-ways-to-improve-cultural-competence-in-nursing-care/</w:t>
        </w:r>
      </w:hyperlink>
      <w:r w:rsidRPr="00EE069D">
        <w:rPr>
          <w:rFonts w:ascii="Times New Roman" w:hAnsi="Times New Roman" w:cs="Times New Roman"/>
          <w:sz w:val="24"/>
          <w:szCs w:val="24"/>
        </w:rPr>
        <w:t xml:space="preserve"> </w:t>
      </w:r>
    </w:p>
    <w:sectPr w:rsidR="00EE069D" w:rsidRPr="00EE069D" w:rsidSect="00EE3437">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5E30" w:rsidRDefault="00D25E30" w:rsidP="00EE3437">
      <w:pPr>
        <w:spacing w:after="0" w:line="240" w:lineRule="auto"/>
      </w:pPr>
      <w:r>
        <w:separator/>
      </w:r>
    </w:p>
  </w:endnote>
  <w:endnote w:type="continuationSeparator" w:id="0">
    <w:p w:rsidR="00D25E30" w:rsidRDefault="00D25E30" w:rsidP="00EE34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5E30" w:rsidRDefault="00D25E30" w:rsidP="00EE3437">
      <w:pPr>
        <w:spacing w:after="0" w:line="240" w:lineRule="auto"/>
      </w:pPr>
      <w:r>
        <w:separator/>
      </w:r>
    </w:p>
  </w:footnote>
  <w:footnote w:type="continuationSeparator" w:id="0">
    <w:p w:rsidR="00D25E30" w:rsidRDefault="00D25E30" w:rsidP="00EE34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243636780"/>
      <w:docPartObj>
        <w:docPartGallery w:val="Page Numbers (Top of Page)"/>
        <w:docPartUnique/>
      </w:docPartObj>
    </w:sdtPr>
    <w:sdtEndPr>
      <w:rPr>
        <w:noProof/>
      </w:rPr>
    </w:sdtEndPr>
    <w:sdtContent>
      <w:p w:rsidR="00EE3437" w:rsidRPr="00EE3437" w:rsidRDefault="00EE3437" w:rsidP="00EE3437">
        <w:pPr>
          <w:pStyle w:val="Header"/>
          <w:jc w:val="right"/>
          <w:rPr>
            <w:rFonts w:ascii="Times New Roman" w:hAnsi="Times New Roman" w:cs="Times New Roman"/>
            <w:sz w:val="24"/>
            <w:szCs w:val="24"/>
          </w:rPr>
        </w:pPr>
        <w:r w:rsidRPr="00EE3437">
          <w:rPr>
            <w:rFonts w:ascii="Times New Roman" w:hAnsi="Times New Roman" w:cs="Times New Roman"/>
            <w:sz w:val="24"/>
            <w:szCs w:val="24"/>
          </w:rPr>
          <w:t xml:space="preserve">ANSWERS </w:t>
        </w:r>
        <w:r w:rsidRPr="00EE3437">
          <w:rPr>
            <w:rFonts w:ascii="Times New Roman" w:hAnsi="Times New Roman" w:cs="Times New Roman"/>
            <w:sz w:val="24"/>
            <w:szCs w:val="24"/>
          </w:rPr>
          <w:tab/>
        </w:r>
        <w:r w:rsidRPr="00EE3437">
          <w:rPr>
            <w:rFonts w:ascii="Times New Roman" w:hAnsi="Times New Roman" w:cs="Times New Roman"/>
            <w:sz w:val="24"/>
            <w:szCs w:val="24"/>
          </w:rPr>
          <w:tab/>
        </w:r>
        <w:r w:rsidRPr="00EE3437">
          <w:rPr>
            <w:rFonts w:ascii="Times New Roman" w:hAnsi="Times New Roman" w:cs="Times New Roman"/>
            <w:sz w:val="24"/>
            <w:szCs w:val="24"/>
          </w:rPr>
          <w:fldChar w:fldCharType="begin"/>
        </w:r>
        <w:r w:rsidRPr="00EE3437">
          <w:rPr>
            <w:rFonts w:ascii="Times New Roman" w:hAnsi="Times New Roman" w:cs="Times New Roman"/>
            <w:sz w:val="24"/>
            <w:szCs w:val="24"/>
          </w:rPr>
          <w:instrText xml:space="preserve"> PAGE   \* MERGEFORMAT </w:instrText>
        </w:r>
        <w:r w:rsidRPr="00EE3437">
          <w:rPr>
            <w:rFonts w:ascii="Times New Roman" w:hAnsi="Times New Roman" w:cs="Times New Roman"/>
            <w:sz w:val="24"/>
            <w:szCs w:val="24"/>
          </w:rPr>
          <w:fldChar w:fldCharType="separate"/>
        </w:r>
        <w:r w:rsidR="00CD6B3C">
          <w:rPr>
            <w:rFonts w:ascii="Times New Roman" w:hAnsi="Times New Roman" w:cs="Times New Roman"/>
            <w:noProof/>
            <w:sz w:val="24"/>
            <w:szCs w:val="24"/>
          </w:rPr>
          <w:t>5</w:t>
        </w:r>
        <w:r w:rsidRPr="00EE3437">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3437" w:rsidRPr="00EE3437" w:rsidRDefault="00EE3437" w:rsidP="00EE3437">
    <w:pPr>
      <w:pStyle w:val="Header"/>
      <w:jc w:val="right"/>
      <w:rPr>
        <w:rFonts w:ascii="Times New Roman" w:hAnsi="Times New Roman" w:cs="Times New Roman"/>
        <w:sz w:val="24"/>
        <w:szCs w:val="24"/>
      </w:rPr>
    </w:pPr>
    <w:r w:rsidRPr="00EE3437">
      <w:rPr>
        <w:rFonts w:ascii="Times New Roman" w:hAnsi="Times New Roman" w:cs="Times New Roman"/>
        <w:sz w:val="24"/>
        <w:szCs w:val="24"/>
      </w:rPr>
      <w:t xml:space="preserve">Running head: ANSWERS </w:t>
    </w:r>
    <w:r w:rsidRPr="00EE3437">
      <w:rPr>
        <w:rFonts w:ascii="Times New Roman" w:hAnsi="Times New Roman" w:cs="Times New Roman"/>
        <w:sz w:val="24"/>
        <w:szCs w:val="24"/>
      </w:rPr>
      <w:tab/>
    </w:r>
    <w:r w:rsidRPr="00EE3437">
      <w:rPr>
        <w:rFonts w:ascii="Times New Roman" w:hAnsi="Times New Roman" w:cs="Times New Roman"/>
        <w:sz w:val="24"/>
        <w:szCs w:val="24"/>
      </w:rPr>
      <w:tab/>
    </w:r>
    <w:sdt>
      <w:sdtPr>
        <w:rPr>
          <w:rFonts w:ascii="Times New Roman" w:hAnsi="Times New Roman" w:cs="Times New Roman"/>
          <w:sz w:val="24"/>
          <w:szCs w:val="24"/>
        </w:rPr>
        <w:id w:val="326259315"/>
        <w:docPartObj>
          <w:docPartGallery w:val="Page Numbers (Top of Page)"/>
          <w:docPartUnique/>
        </w:docPartObj>
      </w:sdtPr>
      <w:sdtEndPr>
        <w:rPr>
          <w:noProof/>
        </w:rPr>
      </w:sdtEndPr>
      <w:sdtContent>
        <w:r w:rsidRPr="00EE3437">
          <w:rPr>
            <w:rFonts w:ascii="Times New Roman" w:hAnsi="Times New Roman" w:cs="Times New Roman"/>
            <w:sz w:val="24"/>
            <w:szCs w:val="24"/>
          </w:rPr>
          <w:fldChar w:fldCharType="begin"/>
        </w:r>
        <w:r w:rsidRPr="00EE3437">
          <w:rPr>
            <w:rFonts w:ascii="Times New Roman" w:hAnsi="Times New Roman" w:cs="Times New Roman"/>
            <w:sz w:val="24"/>
            <w:szCs w:val="24"/>
          </w:rPr>
          <w:instrText xml:space="preserve"> PAGE   \* MERGEFORMAT </w:instrText>
        </w:r>
        <w:r w:rsidRPr="00EE3437">
          <w:rPr>
            <w:rFonts w:ascii="Times New Roman" w:hAnsi="Times New Roman" w:cs="Times New Roman"/>
            <w:sz w:val="24"/>
            <w:szCs w:val="24"/>
          </w:rPr>
          <w:fldChar w:fldCharType="separate"/>
        </w:r>
        <w:r w:rsidR="00D25E30">
          <w:rPr>
            <w:rFonts w:ascii="Times New Roman" w:hAnsi="Times New Roman" w:cs="Times New Roman"/>
            <w:noProof/>
            <w:sz w:val="24"/>
            <w:szCs w:val="24"/>
          </w:rPr>
          <w:t>1</w:t>
        </w:r>
        <w:r w:rsidRPr="00EE3437">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Q1MTG1MDIyNTWwNLNU0lEKTi0uzszPAykwqQUAj2OneywAAAA="/>
  </w:docVars>
  <w:rsids>
    <w:rsidRoot w:val="009953AD"/>
    <w:rsid w:val="001D0E7D"/>
    <w:rsid w:val="0020603C"/>
    <w:rsid w:val="0032394D"/>
    <w:rsid w:val="00355CA6"/>
    <w:rsid w:val="003A6D9B"/>
    <w:rsid w:val="00442EFA"/>
    <w:rsid w:val="005A41FF"/>
    <w:rsid w:val="00637B20"/>
    <w:rsid w:val="006B1BD8"/>
    <w:rsid w:val="00745267"/>
    <w:rsid w:val="007B44CA"/>
    <w:rsid w:val="008412FB"/>
    <w:rsid w:val="0091391F"/>
    <w:rsid w:val="00920E60"/>
    <w:rsid w:val="009953AD"/>
    <w:rsid w:val="00996507"/>
    <w:rsid w:val="009F1AE1"/>
    <w:rsid w:val="00A31D3A"/>
    <w:rsid w:val="00B60C83"/>
    <w:rsid w:val="00C9542D"/>
    <w:rsid w:val="00CD6B3C"/>
    <w:rsid w:val="00D25E30"/>
    <w:rsid w:val="00E77C28"/>
    <w:rsid w:val="00E85F5B"/>
    <w:rsid w:val="00EB2609"/>
    <w:rsid w:val="00EE069D"/>
    <w:rsid w:val="00EE34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1391F"/>
    <w:rPr>
      <w:color w:val="0000FF"/>
      <w:u w:val="single"/>
    </w:rPr>
  </w:style>
  <w:style w:type="paragraph" w:styleId="Header">
    <w:name w:val="header"/>
    <w:basedOn w:val="Normal"/>
    <w:link w:val="HeaderChar"/>
    <w:uiPriority w:val="99"/>
    <w:unhideWhenUsed/>
    <w:rsid w:val="00EE34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3437"/>
  </w:style>
  <w:style w:type="paragraph" w:styleId="Footer">
    <w:name w:val="footer"/>
    <w:basedOn w:val="Normal"/>
    <w:link w:val="FooterChar"/>
    <w:uiPriority w:val="99"/>
    <w:unhideWhenUsed/>
    <w:rsid w:val="00EE34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343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1391F"/>
    <w:rPr>
      <w:color w:val="0000FF"/>
      <w:u w:val="single"/>
    </w:rPr>
  </w:style>
  <w:style w:type="paragraph" w:styleId="Header">
    <w:name w:val="header"/>
    <w:basedOn w:val="Normal"/>
    <w:link w:val="HeaderChar"/>
    <w:uiPriority w:val="99"/>
    <w:unhideWhenUsed/>
    <w:rsid w:val="00EE34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3437"/>
  </w:style>
  <w:style w:type="paragraph" w:styleId="Footer">
    <w:name w:val="footer"/>
    <w:basedOn w:val="Normal"/>
    <w:link w:val="FooterChar"/>
    <w:uiPriority w:val="99"/>
    <w:unhideWhenUsed/>
    <w:rsid w:val="00EE34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34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0615857">
      <w:bodyDiv w:val="1"/>
      <w:marLeft w:val="0"/>
      <w:marRight w:val="0"/>
      <w:marTop w:val="0"/>
      <w:marBottom w:val="0"/>
      <w:divBdr>
        <w:top w:val="none" w:sz="0" w:space="0" w:color="auto"/>
        <w:left w:val="none" w:sz="0" w:space="0" w:color="auto"/>
        <w:bottom w:val="none" w:sz="0" w:space="0" w:color="auto"/>
        <w:right w:val="none" w:sz="0" w:space="0" w:color="auto"/>
      </w:divBdr>
    </w:div>
    <w:div w:id="429274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acticalbioethics.org/files/members/documents/Artificial-Nutrition-Hydration.pdf"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minoritynurse.com/5-ways-to-improve-cultural-competence-in-nursing-ca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06FDDB-91C3-47D7-8F50-FDBD9D3B2E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765</Words>
  <Characters>4366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2019-05-06T13:01:00Z</dcterms:created>
  <dcterms:modified xsi:type="dcterms:W3CDTF">2019-05-06T13:01:00Z</dcterms:modified>
</cp:coreProperties>
</file>